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9299" w14:textId="77777777" w:rsidR="0014509E" w:rsidRPr="0014509E" w:rsidRDefault="0014509E" w:rsidP="0014509E"/>
    <w:p w14:paraId="59947CA4" w14:textId="243AA2F9" w:rsidR="0014509E" w:rsidRPr="00DA63EC" w:rsidRDefault="0014509E" w:rsidP="0014509E">
      <w:pPr>
        <w:suppressAutoHyphens/>
        <w:spacing w:after="0" w:line="240" w:lineRule="auto"/>
        <w:jc w:val="right"/>
        <w:rPr>
          <w:rFonts w:ascii="Times New Roman" w:eastAsia="Times New Roman" w:hAnsi="Times New Roman" w:cs="Times New Roman"/>
          <w:sz w:val="24"/>
          <w:szCs w:val="24"/>
          <w:lang w:eastAsia="ar-SA"/>
          <w14:ligatures w14:val="none"/>
        </w:rPr>
      </w:pPr>
      <w:r>
        <w:rPr>
          <w:rFonts w:ascii="Times New Roman" w:eastAsia="Times New Roman" w:hAnsi="Times New Roman" w:cs="Times New Roman"/>
          <w:sz w:val="24"/>
          <w:szCs w:val="24"/>
          <w:lang w:eastAsia="ar-SA"/>
          <w14:ligatures w14:val="none"/>
        </w:rPr>
        <w:t>Liiklusseaduse s</w:t>
      </w:r>
      <w:r w:rsidRPr="00DA63EC">
        <w:rPr>
          <w:rFonts w:ascii="Times New Roman" w:eastAsia="Times New Roman" w:hAnsi="Times New Roman" w:cs="Times New Roman"/>
          <w:sz w:val="24"/>
          <w:szCs w:val="24"/>
          <w:lang w:eastAsia="ar-SA"/>
          <w14:ligatures w14:val="none"/>
        </w:rPr>
        <w:t xml:space="preserve">eletuskirja lisa </w:t>
      </w:r>
      <w:r>
        <w:rPr>
          <w:rFonts w:ascii="Times New Roman" w:eastAsia="Times New Roman" w:hAnsi="Times New Roman" w:cs="Times New Roman"/>
          <w:sz w:val="24"/>
          <w:szCs w:val="24"/>
          <w:lang w:eastAsia="ar-SA"/>
          <w14:ligatures w14:val="none"/>
        </w:rPr>
        <w:t>2</w:t>
      </w:r>
      <w:r w:rsidRPr="00DA63EC">
        <w:rPr>
          <w:rFonts w:ascii="Times New Roman" w:eastAsia="Times New Roman" w:hAnsi="Times New Roman" w:cs="Times New Roman"/>
          <w:sz w:val="24"/>
          <w:szCs w:val="24"/>
          <w:lang w:eastAsia="ar-SA"/>
          <w14:ligatures w14:val="none"/>
        </w:rPr>
        <w:t xml:space="preserve"> </w:t>
      </w:r>
    </w:p>
    <w:p w14:paraId="307E78F8" w14:textId="77777777" w:rsidR="0014509E" w:rsidRPr="00DA63EC" w:rsidRDefault="0014509E" w:rsidP="0014509E">
      <w:pPr>
        <w:suppressAutoHyphens/>
        <w:spacing w:after="0" w:line="240" w:lineRule="auto"/>
        <w:rPr>
          <w:rFonts w:ascii="Times New Roman" w:eastAsia="Times New Roman" w:hAnsi="Times New Roman" w:cs="Times New Roman"/>
          <w:sz w:val="24"/>
          <w:szCs w:val="24"/>
          <w:lang w:eastAsia="ar-SA"/>
          <w14:ligatures w14:val="none"/>
        </w:rPr>
      </w:pPr>
    </w:p>
    <w:p w14:paraId="7EF39051" w14:textId="2134473F" w:rsidR="0014509E" w:rsidRDefault="0014509E" w:rsidP="0014509E">
      <w:pPr>
        <w:suppressAutoHyphens/>
        <w:spacing w:after="0" w:line="240" w:lineRule="auto"/>
        <w:jc w:val="both"/>
        <w:rPr>
          <w:rFonts w:ascii="Times New Roman" w:eastAsia="Times New Roman" w:hAnsi="Times New Roman" w:cs="Times New Roman"/>
          <w:b/>
          <w:sz w:val="24"/>
          <w:szCs w:val="24"/>
          <w:lang w:eastAsia="ar-SA"/>
          <w14:ligatures w14:val="none"/>
        </w:rPr>
      </w:pPr>
      <w:r w:rsidRPr="00DA63EC">
        <w:rPr>
          <w:rFonts w:ascii="Times New Roman" w:eastAsia="Times New Roman" w:hAnsi="Times New Roman" w:cs="Times New Roman"/>
          <w:b/>
          <w:sz w:val="24"/>
          <w:szCs w:val="24"/>
          <w:lang w:eastAsia="ar-SA"/>
          <w14:ligatures w14:val="none"/>
        </w:rPr>
        <w:t>Liiklusseaduse muutmise seaduse eelnõu</w:t>
      </w:r>
      <w:r>
        <w:rPr>
          <w:rFonts w:ascii="Times New Roman" w:eastAsia="Times New Roman" w:hAnsi="Times New Roman" w:cs="Times New Roman"/>
          <w:b/>
          <w:sz w:val="24"/>
          <w:szCs w:val="24"/>
          <w:lang w:eastAsia="ar-SA"/>
          <w14:ligatures w14:val="none"/>
        </w:rPr>
        <w:t xml:space="preserve"> kohta tehtud ettepanekute arvestamise tabel</w:t>
      </w:r>
    </w:p>
    <w:p w14:paraId="5FAC8C2E" w14:textId="77777777" w:rsidR="0014509E" w:rsidRDefault="0014509E" w:rsidP="0014509E">
      <w:pPr>
        <w:suppressAutoHyphens/>
        <w:spacing w:after="0" w:line="240" w:lineRule="auto"/>
        <w:jc w:val="both"/>
        <w:rPr>
          <w:rFonts w:ascii="Times New Roman" w:eastAsia="Times New Roman" w:hAnsi="Times New Roman" w:cs="Times New Roman"/>
          <w:b/>
          <w:sz w:val="24"/>
          <w:szCs w:val="24"/>
          <w:lang w:eastAsia="ar-SA"/>
          <w14:ligatures w14:val="none"/>
        </w:rPr>
      </w:pPr>
    </w:p>
    <w:tbl>
      <w:tblPr>
        <w:tblStyle w:val="TableGrid"/>
        <w:tblW w:w="0" w:type="auto"/>
        <w:tblLook w:val="04A0" w:firstRow="1" w:lastRow="0" w:firstColumn="1" w:lastColumn="0" w:noHBand="0" w:noVBand="1"/>
      </w:tblPr>
      <w:tblGrid>
        <w:gridCol w:w="2795"/>
        <w:gridCol w:w="2892"/>
        <w:gridCol w:w="3375"/>
      </w:tblGrid>
      <w:tr w:rsidR="0014509E" w14:paraId="1CEA5A6C" w14:textId="77777777" w:rsidTr="00E536FD">
        <w:tc>
          <w:tcPr>
            <w:tcW w:w="2795" w:type="dxa"/>
          </w:tcPr>
          <w:p w14:paraId="27AEF5A9" w14:textId="2A78A8CD" w:rsidR="0014509E" w:rsidRDefault="0014509E" w:rsidP="0014509E">
            <w:pPr>
              <w:suppressAutoHyphens/>
              <w:jc w:val="both"/>
              <w:rPr>
                <w:rFonts w:ascii="Times New Roman" w:eastAsia="Times New Roman" w:hAnsi="Times New Roman" w:cs="Times New Roman"/>
                <w:b/>
                <w:sz w:val="24"/>
                <w:szCs w:val="24"/>
                <w:lang w:eastAsia="ar-SA"/>
                <w14:ligatures w14:val="none"/>
              </w:rPr>
            </w:pPr>
            <w:r>
              <w:rPr>
                <w:rFonts w:ascii="Times New Roman" w:eastAsia="Times New Roman" w:hAnsi="Times New Roman" w:cs="Times New Roman"/>
                <w:b/>
                <w:sz w:val="24"/>
                <w:szCs w:val="24"/>
                <w:lang w:eastAsia="ar-SA"/>
                <w14:ligatures w14:val="none"/>
              </w:rPr>
              <w:t>Ettepaneku esitaja</w:t>
            </w:r>
          </w:p>
        </w:tc>
        <w:tc>
          <w:tcPr>
            <w:tcW w:w="2892" w:type="dxa"/>
          </w:tcPr>
          <w:p w14:paraId="7E132F5B" w14:textId="7E497F65" w:rsidR="0014509E" w:rsidRDefault="0014509E" w:rsidP="0014509E">
            <w:pPr>
              <w:suppressAutoHyphens/>
              <w:jc w:val="both"/>
              <w:rPr>
                <w:rFonts w:ascii="Times New Roman" w:eastAsia="Times New Roman" w:hAnsi="Times New Roman" w:cs="Times New Roman"/>
                <w:b/>
                <w:sz w:val="24"/>
                <w:szCs w:val="24"/>
                <w:lang w:eastAsia="ar-SA"/>
                <w14:ligatures w14:val="none"/>
              </w:rPr>
            </w:pPr>
            <w:r>
              <w:rPr>
                <w:rFonts w:ascii="Times New Roman" w:eastAsia="Times New Roman" w:hAnsi="Times New Roman" w:cs="Times New Roman"/>
                <w:b/>
                <w:sz w:val="24"/>
                <w:szCs w:val="24"/>
                <w:lang w:eastAsia="ar-SA"/>
                <w14:ligatures w14:val="none"/>
              </w:rPr>
              <w:t>Ettepanek</w:t>
            </w:r>
          </w:p>
        </w:tc>
        <w:tc>
          <w:tcPr>
            <w:tcW w:w="3375" w:type="dxa"/>
          </w:tcPr>
          <w:p w14:paraId="410CA387" w14:textId="33C0D29A" w:rsidR="0014509E" w:rsidRDefault="0014509E" w:rsidP="0014509E">
            <w:pPr>
              <w:suppressAutoHyphens/>
              <w:jc w:val="both"/>
              <w:rPr>
                <w:rFonts w:ascii="Times New Roman" w:eastAsia="Times New Roman" w:hAnsi="Times New Roman" w:cs="Times New Roman"/>
                <w:b/>
                <w:sz w:val="24"/>
                <w:szCs w:val="24"/>
                <w:lang w:eastAsia="ar-SA"/>
                <w14:ligatures w14:val="none"/>
              </w:rPr>
            </w:pPr>
            <w:r>
              <w:rPr>
                <w:rFonts w:ascii="Times New Roman" w:eastAsia="Times New Roman" w:hAnsi="Times New Roman" w:cs="Times New Roman"/>
                <w:b/>
                <w:sz w:val="24"/>
                <w:szCs w:val="24"/>
                <w:lang w:eastAsia="ar-SA"/>
                <w14:ligatures w14:val="none"/>
              </w:rPr>
              <w:t>Arvestamine/mittearvestamine</w:t>
            </w:r>
          </w:p>
        </w:tc>
      </w:tr>
      <w:tr w:rsidR="00E536FD" w14:paraId="234765CB" w14:textId="77777777" w:rsidTr="00E536FD">
        <w:tc>
          <w:tcPr>
            <w:tcW w:w="2795" w:type="dxa"/>
            <w:vMerge w:val="restart"/>
          </w:tcPr>
          <w:p w14:paraId="659B95AF" w14:textId="576CBC19"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Riigi Infosüsteemi Amet</w:t>
            </w:r>
          </w:p>
        </w:tc>
        <w:tc>
          <w:tcPr>
            <w:tcW w:w="2892" w:type="dxa"/>
          </w:tcPr>
          <w:p w14:paraId="1E3721C4" w14:textId="53AAA0BD"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sidRPr="0014509E">
              <w:rPr>
                <w:rFonts w:ascii="Times New Roman" w:eastAsia="Times New Roman" w:hAnsi="Times New Roman" w:cs="Times New Roman"/>
                <w:bCs/>
                <w:sz w:val="24"/>
                <w:szCs w:val="24"/>
                <w:lang w:eastAsia="ar-SA"/>
                <w14:ligatures w14:val="none"/>
              </w:rPr>
              <w:t xml:space="preserve">Mõistete loetelu tuleks täiendada „staatiliste ja dünaamiliste andmete“ selgitusega </w:t>
            </w:r>
          </w:p>
          <w:p w14:paraId="1CCA3A1C"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3375" w:type="dxa"/>
          </w:tcPr>
          <w:p w14:paraId="15240E5B" w14:textId="72ACA8A2"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eelnõu ja seletuskirja. </w:t>
            </w:r>
          </w:p>
        </w:tc>
      </w:tr>
      <w:tr w:rsidR="00E536FD" w14:paraId="03635257" w14:textId="77777777" w:rsidTr="00E536FD">
        <w:tc>
          <w:tcPr>
            <w:tcW w:w="2795" w:type="dxa"/>
            <w:vMerge/>
          </w:tcPr>
          <w:p w14:paraId="0518E116"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7FE96A7A" w14:textId="702AB503"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sidRPr="0014509E">
              <w:rPr>
                <w:rFonts w:ascii="Times New Roman" w:eastAsia="Times New Roman" w:hAnsi="Times New Roman" w:cs="Times New Roman"/>
                <w:bCs/>
                <w:sz w:val="24"/>
                <w:szCs w:val="24"/>
                <w:lang w:eastAsia="ar-SA"/>
                <w14:ligatures w14:val="none"/>
              </w:rPr>
              <w:t xml:space="preserve">Teabeväravast saab riiklik juurdepääsupunkt, milles RIA roll andmekaitse mõistes jääb ebaselgeks. Vastutava või volitatud töötleja roll võiks olla regulatsioonis sees, et hilisemaid arusaamatusi vältida, sh. sinna sisestavate andmete osas. </w:t>
            </w:r>
          </w:p>
          <w:p w14:paraId="267FAF48"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3375" w:type="dxa"/>
          </w:tcPr>
          <w:p w14:paraId="0B743008" w14:textId="55003801"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w:t>
            </w:r>
          </w:p>
        </w:tc>
      </w:tr>
      <w:tr w:rsidR="00E536FD" w14:paraId="2381D4EF" w14:textId="77777777" w:rsidTr="00E536FD">
        <w:tc>
          <w:tcPr>
            <w:tcW w:w="2795" w:type="dxa"/>
            <w:vMerge/>
          </w:tcPr>
          <w:p w14:paraId="145A8643"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78C70D51" w14:textId="2ED110E7"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sidRPr="0014509E">
              <w:rPr>
                <w:rFonts w:ascii="Times New Roman" w:eastAsia="Times New Roman" w:hAnsi="Times New Roman" w:cs="Times New Roman"/>
                <w:bCs/>
                <w:sz w:val="24"/>
                <w:szCs w:val="24"/>
                <w:lang w:eastAsia="ar-SA"/>
                <w14:ligatures w14:val="none"/>
              </w:rPr>
              <w:t xml:space="preserve">Eelnõu punkt 4 </w:t>
            </w:r>
            <w:r>
              <w:rPr>
                <w:rFonts w:ascii="Times New Roman" w:eastAsia="Times New Roman" w:hAnsi="Times New Roman" w:cs="Times New Roman"/>
                <w:bCs/>
                <w:sz w:val="24"/>
                <w:szCs w:val="24"/>
                <w:lang w:eastAsia="ar-SA"/>
                <w14:ligatures w14:val="none"/>
              </w:rPr>
              <w:t>j</w:t>
            </w:r>
            <w:r w:rsidRPr="0014509E">
              <w:rPr>
                <w:rFonts w:ascii="Times New Roman" w:eastAsia="Times New Roman" w:hAnsi="Times New Roman" w:cs="Times New Roman"/>
                <w:bCs/>
                <w:sz w:val="24"/>
                <w:szCs w:val="24"/>
                <w:lang w:eastAsia="ar-SA"/>
                <w14:ligatures w14:val="none"/>
              </w:rPr>
              <w:t>ääb arusaamatuks, millistest RIA tehnilistest juhenditest on juttu? Samuti peaksid sõnaselgelt</w:t>
            </w:r>
            <w:r>
              <w:rPr>
                <w:rFonts w:ascii="Times New Roman" w:eastAsia="Times New Roman" w:hAnsi="Times New Roman" w:cs="Times New Roman"/>
                <w:bCs/>
                <w:sz w:val="24"/>
                <w:szCs w:val="24"/>
                <w:lang w:eastAsia="ar-SA"/>
                <w14:ligatures w14:val="none"/>
              </w:rPr>
              <w:t xml:space="preserve"> </w:t>
            </w:r>
            <w:r w:rsidRPr="0014509E">
              <w:rPr>
                <w:rFonts w:ascii="Times New Roman" w:eastAsia="Times New Roman" w:hAnsi="Times New Roman" w:cs="Times New Roman"/>
                <w:bCs/>
                <w:sz w:val="24"/>
                <w:szCs w:val="24"/>
                <w:lang w:eastAsia="ar-SA"/>
                <w14:ligatures w14:val="none"/>
              </w:rPr>
              <w:t xml:space="preserve">olema nimetatud ka </w:t>
            </w:r>
            <w:proofErr w:type="spellStart"/>
            <w:r w:rsidRPr="0014509E">
              <w:rPr>
                <w:rFonts w:ascii="Times New Roman" w:eastAsia="Times New Roman" w:hAnsi="Times New Roman" w:cs="Times New Roman"/>
                <w:bCs/>
                <w:sz w:val="24"/>
                <w:szCs w:val="24"/>
                <w:lang w:eastAsia="ar-SA"/>
                <w14:ligatures w14:val="none"/>
              </w:rPr>
              <w:t>TRAM’i</w:t>
            </w:r>
            <w:proofErr w:type="spellEnd"/>
            <w:r w:rsidRPr="0014509E">
              <w:rPr>
                <w:rFonts w:ascii="Times New Roman" w:eastAsia="Times New Roman" w:hAnsi="Times New Roman" w:cs="Times New Roman"/>
                <w:bCs/>
                <w:sz w:val="24"/>
                <w:szCs w:val="24"/>
                <w:lang w:eastAsia="ar-SA"/>
                <w14:ligatures w14:val="none"/>
              </w:rPr>
              <w:t xml:space="preserve"> juhised. </w:t>
            </w:r>
            <w:proofErr w:type="spellStart"/>
            <w:r w:rsidRPr="0014509E">
              <w:rPr>
                <w:rFonts w:ascii="Times New Roman" w:eastAsia="Times New Roman" w:hAnsi="Times New Roman" w:cs="Times New Roman"/>
                <w:bCs/>
                <w:sz w:val="24"/>
                <w:szCs w:val="24"/>
                <w:lang w:eastAsia="ar-SA"/>
                <w14:ligatures w14:val="none"/>
              </w:rPr>
              <w:t>TRAM’ilt</w:t>
            </w:r>
            <w:proofErr w:type="spellEnd"/>
            <w:r w:rsidRPr="0014509E">
              <w:rPr>
                <w:rFonts w:ascii="Times New Roman" w:eastAsia="Times New Roman" w:hAnsi="Times New Roman" w:cs="Times New Roman"/>
                <w:bCs/>
                <w:sz w:val="24"/>
                <w:szCs w:val="24"/>
                <w:lang w:eastAsia="ar-SA"/>
                <w14:ligatures w14:val="none"/>
              </w:rPr>
              <w:t xml:space="preserve"> peaksid tulema sisulised juhised, sest nendest sõltub andmete esitamise kvaliteet. </w:t>
            </w:r>
          </w:p>
          <w:p w14:paraId="6FDD63B9" w14:textId="77777777"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p>
        </w:tc>
        <w:tc>
          <w:tcPr>
            <w:tcW w:w="3375" w:type="dxa"/>
          </w:tcPr>
          <w:p w14:paraId="1B479091" w14:textId="3B1DD49C"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eelnõu ja seletuskirja. </w:t>
            </w:r>
          </w:p>
        </w:tc>
      </w:tr>
      <w:tr w:rsidR="00E536FD" w14:paraId="3021FDB7" w14:textId="77777777" w:rsidTr="00E536FD">
        <w:tc>
          <w:tcPr>
            <w:tcW w:w="2795" w:type="dxa"/>
            <w:vMerge/>
          </w:tcPr>
          <w:p w14:paraId="46D28886"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7EC0851F" w14:textId="30F9D973"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sidRPr="0014509E">
              <w:rPr>
                <w:rFonts w:ascii="Times New Roman" w:eastAsia="Times New Roman" w:hAnsi="Times New Roman" w:cs="Times New Roman"/>
                <w:bCs/>
                <w:sz w:val="24"/>
                <w:szCs w:val="24"/>
                <w:lang w:eastAsia="ar-SA"/>
                <w14:ligatures w14:val="none"/>
              </w:rPr>
              <w:t xml:space="preserve">Eelnõu seletuskirjas on välja toodud, et </w:t>
            </w:r>
            <w:r w:rsidRPr="0014509E">
              <w:rPr>
                <w:rFonts w:ascii="Times New Roman" w:eastAsia="Times New Roman" w:hAnsi="Times New Roman" w:cs="Times New Roman"/>
                <w:bCs/>
                <w:i/>
                <w:iCs/>
                <w:sz w:val="24"/>
                <w:szCs w:val="24"/>
                <w:lang w:eastAsia="ar-SA"/>
                <w14:ligatures w14:val="none"/>
              </w:rPr>
              <w:t>„Lõikes 6 sätestatakse andmevaldaja mõiste. Tegemist on ITS direktiivi alusel vastu võetud 2022/670 regulatsioonis väljatoodud mõiste ülevõtmisega, mida varasemalt ei ole üle võetud. Kuna kehtiv regulatsioon (LS § 6</w:t>
            </w:r>
            <w:r>
              <w:rPr>
                <w:rFonts w:ascii="Times New Roman" w:eastAsia="Times New Roman" w:hAnsi="Times New Roman" w:cs="Times New Roman"/>
                <w:bCs/>
                <w:i/>
                <w:iCs/>
                <w:sz w:val="24"/>
                <w:szCs w:val="24"/>
                <w:vertAlign w:val="superscript"/>
                <w:lang w:eastAsia="ar-SA"/>
                <w14:ligatures w14:val="none"/>
              </w:rPr>
              <w:t>1</w:t>
            </w:r>
            <w:r w:rsidRPr="0014509E">
              <w:rPr>
                <w:rFonts w:ascii="Times New Roman" w:eastAsia="Times New Roman" w:hAnsi="Times New Roman" w:cs="Times New Roman"/>
                <w:bCs/>
                <w:i/>
                <w:iCs/>
                <w:sz w:val="24"/>
                <w:szCs w:val="24"/>
                <w:lang w:eastAsia="ar-SA"/>
                <w14:ligatures w14:val="none"/>
              </w:rPr>
              <w:t xml:space="preserve"> lõige 4) seda terminit kasutab, on korrektne ka direktiivis sisalduv mõiste Eesti õigusesse üle võtta.“ </w:t>
            </w:r>
            <w:r w:rsidRPr="0014509E">
              <w:rPr>
                <w:rFonts w:ascii="Times New Roman" w:eastAsia="Times New Roman" w:hAnsi="Times New Roman" w:cs="Times New Roman"/>
                <w:bCs/>
                <w:sz w:val="24"/>
                <w:szCs w:val="24"/>
                <w:lang w:eastAsia="ar-SA"/>
                <w14:ligatures w14:val="none"/>
              </w:rPr>
              <w:t xml:space="preserve">RIA </w:t>
            </w:r>
            <w:r w:rsidRPr="0014509E">
              <w:rPr>
                <w:rFonts w:ascii="Times New Roman" w:eastAsia="Times New Roman" w:hAnsi="Times New Roman" w:cs="Times New Roman"/>
                <w:bCs/>
                <w:sz w:val="24"/>
                <w:szCs w:val="24"/>
                <w:lang w:eastAsia="ar-SA"/>
                <w14:ligatures w14:val="none"/>
              </w:rPr>
              <w:lastRenderedPageBreak/>
              <w:t xml:space="preserve">hinnangul ei ole sellist sätet kehtivas Liiklusseaduses. </w:t>
            </w:r>
          </w:p>
          <w:p w14:paraId="15CC6342" w14:textId="77777777"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p>
        </w:tc>
        <w:tc>
          <w:tcPr>
            <w:tcW w:w="3375" w:type="dxa"/>
          </w:tcPr>
          <w:p w14:paraId="5D08A800" w14:textId="126CAC1F" w:rsidR="00E536FD" w:rsidRPr="0014509E"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lastRenderedPageBreak/>
              <w:t>Arvestatud</w:t>
            </w:r>
            <w:r w:rsidR="004C1BE1">
              <w:rPr>
                <w:rFonts w:ascii="Times New Roman" w:eastAsia="Times New Roman" w:hAnsi="Times New Roman" w:cs="Times New Roman"/>
                <w:bCs/>
                <w:sz w:val="24"/>
                <w:szCs w:val="24"/>
                <w:lang w:eastAsia="ar-SA"/>
                <w14:ligatures w14:val="none"/>
              </w:rPr>
              <w:t xml:space="preserve"> – täiendatud seletuskirja. </w:t>
            </w:r>
          </w:p>
        </w:tc>
      </w:tr>
      <w:tr w:rsidR="00E536FD" w14:paraId="7DF4257D" w14:textId="77777777" w:rsidTr="00E536FD">
        <w:tc>
          <w:tcPr>
            <w:tcW w:w="2795" w:type="dxa"/>
            <w:vMerge/>
          </w:tcPr>
          <w:p w14:paraId="230F16AC"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14E57903" w14:textId="6B59E5FC" w:rsidR="00E536FD" w:rsidRPr="00AF498B" w:rsidRDefault="00E536FD" w:rsidP="0014509E">
            <w:pPr>
              <w:suppressAutoHyphens/>
              <w:jc w:val="both"/>
              <w:rPr>
                <w:rFonts w:ascii="Times New Roman" w:eastAsia="Times New Roman" w:hAnsi="Times New Roman" w:cs="Times New Roman"/>
                <w:bCs/>
                <w:sz w:val="24"/>
                <w:szCs w:val="24"/>
                <w:lang w:eastAsia="ar-SA"/>
                <w14:ligatures w14:val="none"/>
              </w:rPr>
            </w:pPr>
            <w:r w:rsidRPr="00AF498B">
              <w:rPr>
                <w:rFonts w:ascii="Times New Roman" w:eastAsia="Times New Roman" w:hAnsi="Times New Roman" w:cs="Times New Roman"/>
                <w:bCs/>
                <w:sz w:val="24"/>
                <w:szCs w:val="24"/>
                <w:lang w:eastAsia="ar-SA"/>
                <w14:ligatures w14:val="none"/>
              </w:rPr>
              <w:t xml:space="preserve">Eelnõu § 1 lisaks RIA nimele on seaduses (sh seletuskirjas) räägitud avaandmete teabeväravast. Õige on Eesti andmete teabevärav. </w:t>
            </w:r>
          </w:p>
        </w:tc>
        <w:tc>
          <w:tcPr>
            <w:tcW w:w="3375" w:type="dxa"/>
          </w:tcPr>
          <w:p w14:paraId="4260283B" w14:textId="47381925" w:rsidR="00E536FD" w:rsidRPr="00AF498B"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eelnõu ja seletuskirja.</w:t>
            </w:r>
          </w:p>
        </w:tc>
      </w:tr>
      <w:tr w:rsidR="00E536FD" w14:paraId="313DD246" w14:textId="77777777" w:rsidTr="00E536FD">
        <w:tc>
          <w:tcPr>
            <w:tcW w:w="2795" w:type="dxa"/>
            <w:vMerge/>
          </w:tcPr>
          <w:p w14:paraId="2B1ABA63"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3B6D415B" w14:textId="6C2236F5" w:rsidR="00E536FD" w:rsidRPr="00AF498B" w:rsidRDefault="00E536FD" w:rsidP="0014509E">
            <w:pPr>
              <w:suppressAutoHyphens/>
              <w:jc w:val="both"/>
              <w:rPr>
                <w:rFonts w:ascii="Times New Roman" w:eastAsia="Times New Roman" w:hAnsi="Times New Roman" w:cs="Times New Roman"/>
                <w:bCs/>
                <w:sz w:val="24"/>
                <w:szCs w:val="24"/>
                <w:lang w:eastAsia="ar-SA"/>
                <w14:ligatures w14:val="none"/>
              </w:rPr>
            </w:pPr>
            <w:r w:rsidRPr="00AF498B">
              <w:rPr>
                <w:rFonts w:ascii="Times New Roman" w:eastAsia="Times New Roman" w:hAnsi="Times New Roman" w:cs="Times New Roman"/>
                <w:bCs/>
                <w:sz w:val="24"/>
                <w:szCs w:val="24"/>
                <w:lang w:eastAsia="ar-SA"/>
                <w14:ligatures w14:val="none"/>
              </w:rPr>
              <w:t>Eelnõusse on loodud 2 uut mõistet, millele on kasutatavad vasted olemas: „andmevaldaja“ avaliku teabe seaduses (</w:t>
            </w:r>
            <w:proofErr w:type="spellStart"/>
            <w:r w:rsidRPr="00AF498B">
              <w:rPr>
                <w:rFonts w:ascii="Times New Roman" w:eastAsia="Times New Roman" w:hAnsi="Times New Roman" w:cs="Times New Roman"/>
                <w:bCs/>
                <w:sz w:val="24"/>
                <w:szCs w:val="24"/>
                <w:lang w:eastAsia="ar-SA"/>
                <w14:ligatures w14:val="none"/>
              </w:rPr>
              <w:t>AvTS</w:t>
            </w:r>
            <w:proofErr w:type="spellEnd"/>
            <w:r w:rsidRPr="00AF498B">
              <w:rPr>
                <w:rFonts w:ascii="Times New Roman" w:eastAsia="Times New Roman" w:hAnsi="Times New Roman" w:cs="Times New Roman"/>
                <w:bCs/>
                <w:sz w:val="24"/>
                <w:szCs w:val="24"/>
                <w:lang w:eastAsia="ar-SA"/>
                <w14:ligatures w14:val="none"/>
              </w:rPr>
              <w:t>) ja andmete teabeväravas (ATV) on teabevaldaja. Jääb arusaamatuks, miks luuakse uus mõiste? Lisaks mõiste „koostöised“ – viimasel ajal räägitakse koosvõimest ja koosvõimelikkusest – jällegi tekitatakse uus mõiste – pigem võiks neid ühtlustada.</w:t>
            </w:r>
          </w:p>
        </w:tc>
        <w:tc>
          <w:tcPr>
            <w:tcW w:w="3375" w:type="dxa"/>
          </w:tcPr>
          <w:p w14:paraId="69710E48" w14:textId="1D298CCA" w:rsidR="00E536FD" w:rsidRPr="00AF498B"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 xml:space="preserve">Mittearvestatud. Tegemist on sisult erinevate mõistega ning </w:t>
            </w:r>
            <w:proofErr w:type="spellStart"/>
            <w:r>
              <w:rPr>
                <w:rFonts w:ascii="Times New Roman" w:eastAsia="Times New Roman" w:hAnsi="Times New Roman" w:cs="Times New Roman"/>
                <w:bCs/>
                <w:sz w:val="24"/>
                <w:szCs w:val="24"/>
                <w:lang w:eastAsia="ar-SA"/>
                <w14:ligatures w14:val="none"/>
              </w:rPr>
              <w:t>AvTSi</w:t>
            </w:r>
            <w:proofErr w:type="spellEnd"/>
            <w:r>
              <w:rPr>
                <w:rFonts w:ascii="Times New Roman" w:eastAsia="Times New Roman" w:hAnsi="Times New Roman" w:cs="Times New Roman"/>
                <w:bCs/>
                <w:sz w:val="24"/>
                <w:szCs w:val="24"/>
                <w:lang w:eastAsia="ar-SA"/>
                <w14:ligatures w14:val="none"/>
              </w:rPr>
              <w:t xml:space="preserve"> väljatoodud teabevaldaja mõiste sisu ei kata andmevaldaja mõistet. </w:t>
            </w:r>
          </w:p>
        </w:tc>
      </w:tr>
      <w:tr w:rsidR="00E536FD" w14:paraId="3503654D" w14:textId="77777777" w:rsidTr="00E536FD">
        <w:tc>
          <w:tcPr>
            <w:tcW w:w="2795" w:type="dxa"/>
            <w:vMerge/>
          </w:tcPr>
          <w:p w14:paraId="347F5470"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13D717D8" w14:textId="532FCE59" w:rsidR="00E536FD" w:rsidRPr="00E536FD" w:rsidRDefault="00E536FD" w:rsidP="0014509E">
            <w:pPr>
              <w:suppressAutoHyphens/>
              <w:jc w:val="both"/>
              <w:rPr>
                <w:rFonts w:ascii="Times New Roman" w:eastAsia="Times New Roman" w:hAnsi="Times New Roman" w:cs="Times New Roman"/>
                <w:bCs/>
                <w:sz w:val="24"/>
                <w:szCs w:val="24"/>
                <w:lang w:eastAsia="ar-SA"/>
                <w14:ligatures w14:val="none"/>
              </w:rPr>
            </w:pPr>
            <w:r w:rsidRPr="00E536FD">
              <w:rPr>
                <w:rFonts w:ascii="Times New Roman" w:eastAsia="Times New Roman" w:hAnsi="Times New Roman" w:cs="Times New Roman"/>
                <w:bCs/>
                <w:sz w:val="24"/>
                <w:szCs w:val="24"/>
                <w:lang w:eastAsia="ar-SA"/>
                <w14:ligatures w14:val="none"/>
              </w:rPr>
              <w:t>Eelnõus peaks „Riigi Infosüsteemide Amet“ asemel olema „Riigi Infosüsteemi Amet“.</w:t>
            </w:r>
          </w:p>
        </w:tc>
        <w:tc>
          <w:tcPr>
            <w:tcW w:w="3375" w:type="dxa"/>
          </w:tcPr>
          <w:p w14:paraId="3DBA7410" w14:textId="2923CE25" w:rsidR="00E536FD" w:rsidRPr="00E536FD"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 xml:space="preserve">Arvestatud. </w:t>
            </w:r>
          </w:p>
        </w:tc>
      </w:tr>
      <w:tr w:rsidR="00E536FD" w14:paraId="44D0BF6A" w14:textId="77777777" w:rsidTr="00E536FD">
        <w:tc>
          <w:tcPr>
            <w:tcW w:w="2795" w:type="dxa"/>
            <w:vMerge/>
          </w:tcPr>
          <w:p w14:paraId="47635D28"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49F99A8D" w14:textId="3796B592" w:rsidR="00E536FD" w:rsidRPr="00E536FD" w:rsidRDefault="00E536FD" w:rsidP="0014509E">
            <w:pPr>
              <w:suppressAutoHyphens/>
              <w:jc w:val="both"/>
              <w:rPr>
                <w:rFonts w:ascii="Times New Roman" w:eastAsia="Times New Roman" w:hAnsi="Times New Roman" w:cs="Times New Roman"/>
                <w:bCs/>
                <w:sz w:val="24"/>
                <w:szCs w:val="24"/>
                <w:lang w:eastAsia="ar-SA"/>
                <w14:ligatures w14:val="none"/>
              </w:rPr>
            </w:pPr>
            <w:r w:rsidRPr="00E536FD">
              <w:rPr>
                <w:rFonts w:ascii="Times New Roman" w:eastAsia="Times New Roman" w:hAnsi="Times New Roman" w:cs="Times New Roman"/>
                <w:bCs/>
                <w:sz w:val="24"/>
                <w:szCs w:val="24"/>
                <w:lang w:eastAsia="ar-SA"/>
                <w14:ligatures w14:val="none"/>
              </w:rPr>
              <w:t xml:space="preserve">Eelnõu seletuskirja mõjude peatükk ei sisalda teavet, kuidas on tagatud Eesti teabeväravasse riikliku juurdepääsupunkti loomise ja sellega seotud </w:t>
            </w:r>
            <w:proofErr w:type="spellStart"/>
            <w:r w:rsidRPr="00E536FD">
              <w:rPr>
                <w:rFonts w:ascii="Times New Roman" w:eastAsia="Times New Roman" w:hAnsi="Times New Roman" w:cs="Times New Roman"/>
                <w:bCs/>
                <w:sz w:val="24"/>
                <w:szCs w:val="24"/>
                <w:lang w:eastAsia="ar-SA"/>
                <w14:ligatures w14:val="none"/>
              </w:rPr>
              <w:t>TRAMi</w:t>
            </w:r>
            <w:proofErr w:type="spellEnd"/>
            <w:r w:rsidRPr="00E536FD">
              <w:rPr>
                <w:rFonts w:ascii="Times New Roman" w:eastAsia="Times New Roman" w:hAnsi="Times New Roman" w:cs="Times New Roman"/>
                <w:bCs/>
                <w:sz w:val="24"/>
                <w:szCs w:val="24"/>
                <w:lang w:eastAsia="ar-SA"/>
                <w14:ligatures w14:val="none"/>
              </w:rPr>
              <w:t xml:space="preserve"> arendustellimuste täitmise rahastamine.</w:t>
            </w:r>
          </w:p>
        </w:tc>
        <w:tc>
          <w:tcPr>
            <w:tcW w:w="3375" w:type="dxa"/>
          </w:tcPr>
          <w:p w14:paraId="07AAF6F5" w14:textId="0F2688A4" w:rsidR="00E536FD" w:rsidRPr="00E536FD" w:rsidRDefault="00E536FD"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w:t>
            </w:r>
          </w:p>
        </w:tc>
      </w:tr>
      <w:tr w:rsidR="003316E3" w14:paraId="6305EFCD" w14:textId="77777777" w:rsidTr="00E536FD">
        <w:tc>
          <w:tcPr>
            <w:tcW w:w="2795" w:type="dxa"/>
            <w:vMerge w:val="restart"/>
          </w:tcPr>
          <w:p w14:paraId="024BAC79" w14:textId="506F4857" w:rsidR="003316E3" w:rsidRPr="00E536FD"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Transpordiamet</w:t>
            </w:r>
          </w:p>
        </w:tc>
        <w:tc>
          <w:tcPr>
            <w:tcW w:w="2892" w:type="dxa"/>
          </w:tcPr>
          <w:p w14:paraId="2C244333" w14:textId="5625951F" w:rsidR="003316E3" w:rsidRDefault="003316E3" w:rsidP="0014509E">
            <w:pPr>
              <w:suppressAutoHyphens/>
              <w:jc w:val="both"/>
              <w:rPr>
                <w:rFonts w:ascii="Times New Roman" w:eastAsia="Times New Roman" w:hAnsi="Times New Roman" w:cs="Times New Roman"/>
                <w:b/>
                <w:sz w:val="24"/>
                <w:szCs w:val="24"/>
                <w:lang w:eastAsia="ar-SA"/>
                <w14:ligatures w14:val="none"/>
              </w:rPr>
            </w:pPr>
            <w:r w:rsidRPr="00E536FD">
              <w:rPr>
                <w:rFonts w:ascii="Times New Roman" w:eastAsia="Times New Roman" w:hAnsi="Times New Roman" w:cs="Times New Roman"/>
                <w:bCs/>
                <w:sz w:val="24"/>
                <w:szCs w:val="24"/>
                <w:lang w:eastAsia="ar-SA"/>
                <w14:ligatures w14:val="none"/>
              </w:rPr>
              <w:t xml:space="preserve">Transpordiamet haldab ise mitmeid direktiivi alusel olevaid süsteeme ja taristut - Veneküla turvaparkla, Tarktee süsteem koos sealsete andmetega, Tarktee ja Teeregister. Transpordiamet peaks tagama enda poolt avaldatud andmete sõltumatu vastavushindamise. Kliimaministeeriumil </w:t>
            </w:r>
            <w:r w:rsidRPr="00E536FD">
              <w:rPr>
                <w:rFonts w:ascii="Times New Roman" w:eastAsia="Times New Roman" w:hAnsi="Times New Roman" w:cs="Times New Roman"/>
                <w:bCs/>
                <w:sz w:val="24"/>
                <w:szCs w:val="24"/>
                <w:lang w:eastAsia="ar-SA"/>
                <w14:ligatures w14:val="none"/>
              </w:rPr>
              <w:lastRenderedPageBreak/>
              <w:t>tuleks hinnata, kas Transpordiamet oma sisemise töökorraldusega saab vastavalt direktiivile oma funktsioonid piisavalt eraldada ning kas enda andmete hindamise osa tuleks kinnitada sisekontrolli üksuse poolt või osta sisse teenusena. KOMISJONI DELEGEERITUD MÄÄRUS (EL) nr 885/2013, 15. mai 2013, millega täiendatakse intelligentseid transpordisüsteeme käsitlevat Euroopa Parlamendi ja nõukogu direktiivi 2010/40/EL seoses veoautodele ja tarbesõidukitele ettenähtud turvalisi parkimiskohti käsitleva teabeteenuse osutamisega artikli 8 lõike 1 kohaselt peab riiklik pädev asutus olema erapooletu ning teenuse osutajatest, parklate haldajatest ja teehaldajatest sõltumatu</w:t>
            </w:r>
            <w:r w:rsidRPr="00E536FD">
              <w:rPr>
                <w:rFonts w:ascii="Times New Roman" w:eastAsia="Times New Roman" w:hAnsi="Times New Roman" w:cs="Times New Roman"/>
                <w:b/>
                <w:sz w:val="24"/>
                <w:szCs w:val="24"/>
                <w:lang w:eastAsia="ar-SA"/>
                <w14:ligatures w14:val="none"/>
              </w:rPr>
              <w:t>.</w:t>
            </w:r>
          </w:p>
        </w:tc>
        <w:tc>
          <w:tcPr>
            <w:tcW w:w="3375" w:type="dxa"/>
          </w:tcPr>
          <w:p w14:paraId="0632B993" w14:textId="5FDCD5DE" w:rsidR="003316E3" w:rsidRPr="00E536FD"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lastRenderedPageBreak/>
              <w:t>Mittearvestatud. Transpordiametil tuleb</w:t>
            </w:r>
            <w:r w:rsidRPr="00787599">
              <w:rPr>
                <w:rFonts w:ascii="Times New Roman" w:eastAsia="Times New Roman" w:hAnsi="Times New Roman" w:cs="Times New Roman"/>
                <w:bCs/>
                <w:sz w:val="24"/>
                <w:szCs w:val="24"/>
                <w:lang w:eastAsia="ar-SA"/>
                <w14:ligatures w14:val="none"/>
              </w:rPr>
              <w:t xml:space="preserve"> tagada sisekontrollimeetmetega kohustuste lahusus, mis tähendab, et iseenda töö üle ei saa teha järelevalvet. Järelevalveülesande sõltumatus ja lahusus kontrollitava</w:t>
            </w:r>
            <w:r w:rsidR="004C5869">
              <w:rPr>
                <w:rFonts w:ascii="Times New Roman" w:eastAsia="Times New Roman" w:hAnsi="Times New Roman" w:cs="Times New Roman"/>
                <w:bCs/>
                <w:sz w:val="24"/>
                <w:szCs w:val="24"/>
                <w:lang w:eastAsia="ar-SA"/>
                <w14:ligatures w14:val="none"/>
              </w:rPr>
              <w:t>st</w:t>
            </w:r>
            <w:r w:rsidRPr="00787599">
              <w:rPr>
                <w:rFonts w:ascii="Times New Roman" w:eastAsia="Times New Roman" w:hAnsi="Times New Roman" w:cs="Times New Roman"/>
                <w:bCs/>
                <w:sz w:val="24"/>
                <w:szCs w:val="24"/>
                <w:lang w:eastAsia="ar-SA"/>
                <w14:ligatures w14:val="none"/>
              </w:rPr>
              <w:t xml:space="preserve"> tegevusest tagatakse asutuse juhtimisstruktuuriga, kus järelevalvetegevuse alluvus ja aruandeliin erineb kontrollitava </w:t>
            </w:r>
            <w:r w:rsidRPr="00787599">
              <w:rPr>
                <w:rFonts w:ascii="Times New Roman" w:eastAsia="Times New Roman" w:hAnsi="Times New Roman" w:cs="Times New Roman"/>
                <w:bCs/>
                <w:sz w:val="24"/>
                <w:szCs w:val="24"/>
                <w:lang w:eastAsia="ar-SA"/>
                <w14:ligatures w14:val="none"/>
              </w:rPr>
              <w:lastRenderedPageBreak/>
              <w:t>tegevuse vastutava täitja alluvusest ja aruandeliinist.</w:t>
            </w:r>
          </w:p>
        </w:tc>
      </w:tr>
      <w:tr w:rsidR="003316E3" w14:paraId="4AF37AAE" w14:textId="77777777" w:rsidTr="00E536FD">
        <w:tc>
          <w:tcPr>
            <w:tcW w:w="2795" w:type="dxa"/>
            <w:vMerge/>
          </w:tcPr>
          <w:p w14:paraId="405F9B36" w14:textId="77777777" w:rsidR="003316E3" w:rsidRDefault="003316E3"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2ED22B41" w14:textId="5BFBB1AA"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sidRPr="00787599">
              <w:rPr>
                <w:rFonts w:ascii="Times New Roman" w:eastAsia="Times New Roman" w:hAnsi="Times New Roman" w:cs="Times New Roman"/>
                <w:bCs/>
                <w:sz w:val="24"/>
                <w:szCs w:val="24"/>
                <w:lang w:eastAsia="ar-SA"/>
                <w14:ligatures w14:val="none"/>
              </w:rPr>
              <w:t xml:space="preserve">Vastavushindamise formaat võimaldab kontrollida, kas andmed on või ei ole ja kas nad on õiges esitlusformaadis. Transpordiametil ei ole võimalik kontrollida andmete sisu, st kas andmed on autentsed ja õiged, see väljub vastavushindamise skoobist ning peaks olema andmeomaniku vastutus ja sedasi ka selgelt seaduses määratletud. Palume täiendada eelnõu punkti 3), paragrahvis 6¹ peaks olema kirjas, et andmevaldajal peab olema kohustus teha andmed kättesaadavaks </w:t>
            </w:r>
            <w:r w:rsidRPr="00787599">
              <w:rPr>
                <w:rFonts w:ascii="Times New Roman" w:eastAsia="Times New Roman" w:hAnsi="Times New Roman" w:cs="Times New Roman"/>
                <w:bCs/>
                <w:sz w:val="24"/>
                <w:szCs w:val="24"/>
                <w:lang w:eastAsia="ar-SA"/>
                <w14:ligatures w14:val="none"/>
              </w:rPr>
              <w:lastRenderedPageBreak/>
              <w:t>ning tagada nende ajakohasus ja õigsus.</w:t>
            </w:r>
          </w:p>
        </w:tc>
        <w:tc>
          <w:tcPr>
            <w:tcW w:w="3375" w:type="dxa"/>
          </w:tcPr>
          <w:p w14:paraId="4FD21EC6" w14:textId="092F4B69"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lastRenderedPageBreak/>
              <w:t>Arvestatud</w:t>
            </w:r>
            <w:r w:rsidR="004C1BE1">
              <w:rPr>
                <w:rFonts w:ascii="Times New Roman" w:eastAsia="Times New Roman" w:hAnsi="Times New Roman" w:cs="Times New Roman"/>
                <w:bCs/>
                <w:sz w:val="24"/>
                <w:szCs w:val="24"/>
                <w:lang w:eastAsia="ar-SA"/>
                <w14:ligatures w14:val="none"/>
              </w:rPr>
              <w:t xml:space="preserve"> – täiendatud seletuskirja.</w:t>
            </w:r>
          </w:p>
        </w:tc>
      </w:tr>
      <w:tr w:rsidR="003316E3" w14:paraId="66D93B43" w14:textId="77777777" w:rsidTr="00E536FD">
        <w:tc>
          <w:tcPr>
            <w:tcW w:w="2795" w:type="dxa"/>
            <w:vMerge/>
          </w:tcPr>
          <w:p w14:paraId="3B92F7F6" w14:textId="77777777" w:rsidR="003316E3" w:rsidRDefault="003316E3"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103F68C5" w14:textId="7ECE05AD" w:rsidR="003316E3" w:rsidRPr="00787599" w:rsidRDefault="003316E3" w:rsidP="00787599">
            <w:pPr>
              <w:suppressAutoHyphens/>
              <w:jc w:val="both"/>
              <w:rPr>
                <w:rFonts w:ascii="Times New Roman" w:eastAsia="Times New Roman" w:hAnsi="Times New Roman" w:cs="Times New Roman"/>
                <w:bCs/>
                <w:sz w:val="24"/>
                <w:szCs w:val="24"/>
                <w:lang w:eastAsia="ar-SA"/>
                <w14:ligatures w14:val="none"/>
              </w:rPr>
            </w:pPr>
            <w:r w:rsidRPr="00787599">
              <w:rPr>
                <w:rFonts w:ascii="Times New Roman" w:eastAsia="Times New Roman" w:hAnsi="Times New Roman" w:cs="Times New Roman"/>
                <w:bCs/>
                <w:sz w:val="24"/>
                <w:szCs w:val="24"/>
                <w:lang w:eastAsia="ar-SA"/>
                <w14:ligatures w14:val="none"/>
              </w:rPr>
              <w:t>Eelnõu punktis 4) on toodud paragrahvi 6¹ lõike 7 täiendus, mis ütleb, et Transpordiametil on "õigus" teha vastavushindamist kõikide nõuete täitmise osas. Kõikide nõuete hindamine väljub andmevärava skoobist. Andmevärava kontekstis saab vaadata, kas andmed on või ei ole olemas ning kas need on õiges formaadis. Transpordiamet ei saa midagi sisulisemalt kontrollida.</w:t>
            </w:r>
          </w:p>
        </w:tc>
        <w:tc>
          <w:tcPr>
            <w:tcW w:w="3375" w:type="dxa"/>
          </w:tcPr>
          <w:p w14:paraId="6BA2FD38" w14:textId="3616161B"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w:t>
            </w:r>
          </w:p>
        </w:tc>
      </w:tr>
      <w:tr w:rsidR="003316E3" w14:paraId="4F6EFC2A" w14:textId="77777777" w:rsidTr="00E536FD">
        <w:tc>
          <w:tcPr>
            <w:tcW w:w="2795" w:type="dxa"/>
            <w:vMerge/>
          </w:tcPr>
          <w:p w14:paraId="36C3652A" w14:textId="77777777" w:rsidR="003316E3" w:rsidRDefault="003316E3"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010CBE59" w14:textId="23BDA90D"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sidRPr="00787599">
              <w:rPr>
                <w:rFonts w:ascii="Times New Roman" w:eastAsia="Times New Roman" w:hAnsi="Times New Roman" w:cs="Times New Roman"/>
                <w:bCs/>
                <w:sz w:val="24"/>
                <w:szCs w:val="24"/>
                <w:lang w:eastAsia="ar-SA"/>
                <w14:ligatures w14:val="none"/>
              </w:rPr>
              <w:t xml:space="preserve">Seletuskirja punktis 6.2 on kirjutatud, et Transpordiamet on </w:t>
            </w:r>
            <w:r w:rsidRPr="00787599">
              <w:rPr>
                <w:rFonts w:ascii="Times New Roman" w:eastAsia="Times New Roman" w:hAnsi="Times New Roman" w:cs="Times New Roman"/>
                <w:bCs/>
                <w:i/>
                <w:iCs/>
                <w:sz w:val="24"/>
                <w:szCs w:val="24"/>
                <w:lang w:eastAsia="ar-SA"/>
                <w14:ligatures w14:val="none"/>
              </w:rPr>
              <w:t>kõnealuste nõuete täitmisel kohustatud juriidiline isik ning peab tagama, et ITS direktiivi nõuded oleksid täidetud</w:t>
            </w:r>
            <w:r w:rsidRPr="00787599">
              <w:rPr>
                <w:rFonts w:ascii="Times New Roman" w:eastAsia="Times New Roman" w:hAnsi="Times New Roman" w:cs="Times New Roman"/>
                <w:bCs/>
                <w:sz w:val="24"/>
                <w:szCs w:val="24"/>
                <w:lang w:eastAsia="ar-SA"/>
                <w14:ligatures w14:val="none"/>
              </w:rPr>
              <w:t>. Vastavushindamisega ei saa Transpordiamet tagada direktiivi täitmist. Vastavalt eelnõule saab ainult andmete mittevastavuse korral muuta need mitte avalikuks ja teha parandusettepanekuid andmeavaldajale (</w:t>
            </w:r>
            <w:r w:rsidRPr="00787599">
              <w:rPr>
                <w:rFonts w:ascii="Times New Roman" w:eastAsia="Times New Roman" w:hAnsi="Times New Roman" w:cs="Times New Roman"/>
                <w:bCs/>
                <w:i/>
                <w:iCs/>
                <w:sz w:val="24"/>
                <w:szCs w:val="24"/>
                <w:lang w:eastAsia="ar-SA"/>
                <w14:ligatures w14:val="none"/>
              </w:rPr>
              <w:t xml:space="preserve">sh </w:t>
            </w:r>
            <w:r w:rsidRPr="00787599">
              <w:rPr>
                <w:rFonts w:ascii="Times New Roman" w:eastAsia="Times New Roman" w:hAnsi="Times New Roman" w:cs="Times New Roman"/>
                <w:bCs/>
                <w:sz w:val="24"/>
                <w:szCs w:val="24"/>
                <w:lang w:eastAsia="ar-SA"/>
                <w14:ligatures w14:val="none"/>
              </w:rPr>
              <w:t>ka Transpordiameti struktuuriüksustele). Transpordiametil ei ole siin õigust sanktsioneerida ega võimalust tagada andmete vastavust direktiiviga (</w:t>
            </w:r>
            <w:r w:rsidRPr="00787599">
              <w:rPr>
                <w:rFonts w:ascii="Times New Roman" w:eastAsia="Times New Roman" w:hAnsi="Times New Roman" w:cs="Times New Roman"/>
                <w:bCs/>
                <w:i/>
                <w:iCs/>
                <w:sz w:val="24"/>
                <w:szCs w:val="24"/>
                <w:lang w:eastAsia="ar-SA"/>
                <w14:ligatures w14:val="none"/>
              </w:rPr>
              <w:t xml:space="preserve">va </w:t>
            </w:r>
            <w:r w:rsidRPr="00787599">
              <w:rPr>
                <w:rFonts w:ascii="Times New Roman" w:eastAsia="Times New Roman" w:hAnsi="Times New Roman" w:cs="Times New Roman"/>
                <w:bCs/>
                <w:sz w:val="24"/>
                <w:szCs w:val="24"/>
                <w:lang w:eastAsia="ar-SA"/>
                <w14:ligatures w14:val="none"/>
              </w:rPr>
              <w:t>Transpordiameti enda poolt avaldatud andmete osas). Transpordiametil on vaid võimalik edastada andmete avaldamise vastavushindamise tulemused Kliimaministeeriumile.</w:t>
            </w:r>
          </w:p>
        </w:tc>
        <w:tc>
          <w:tcPr>
            <w:tcW w:w="3375" w:type="dxa"/>
          </w:tcPr>
          <w:p w14:paraId="60EF17C0" w14:textId="1A722657"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 </w:t>
            </w:r>
          </w:p>
        </w:tc>
      </w:tr>
      <w:tr w:rsidR="003316E3" w14:paraId="5633130C" w14:textId="77777777" w:rsidTr="00E536FD">
        <w:tc>
          <w:tcPr>
            <w:tcW w:w="2795" w:type="dxa"/>
            <w:vMerge/>
          </w:tcPr>
          <w:p w14:paraId="6AF21E9E" w14:textId="77777777" w:rsidR="003316E3" w:rsidRDefault="003316E3"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658D752E" w14:textId="7A87315B" w:rsidR="003316E3" w:rsidRPr="00787599" w:rsidRDefault="003316E3" w:rsidP="00787599">
            <w:pPr>
              <w:suppressAutoHyphens/>
              <w:jc w:val="both"/>
              <w:rPr>
                <w:rFonts w:ascii="Times New Roman" w:eastAsia="Times New Roman" w:hAnsi="Times New Roman" w:cs="Times New Roman"/>
                <w:bCs/>
                <w:sz w:val="24"/>
                <w:szCs w:val="24"/>
                <w:lang w:eastAsia="ar-SA"/>
                <w14:ligatures w14:val="none"/>
              </w:rPr>
            </w:pPr>
            <w:r w:rsidRPr="00787599">
              <w:rPr>
                <w:rFonts w:ascii="Times New Roman" w:eastAsia="Times New Roman" w:hAnsi="Times New Roman" w:cs="Times New Roman"/>
                <w:bCs/>
                <w:sz w:val="24"/>
                <w:szCs w:val="24"/>
                <w:lang w:eastAsia="ar-SA"/>
                <w14:ligatures w14:val="none"/>
              </w:rPr>
              <w:t>Eelnõus ei seata andmevaldajale sanktsioone direktiivis toodud kohustuse mittetäitmise eest, see teema tuleks ka ära reguleerida.</w:t>
            </w:r>
          </w:p>
        </w:tc>
        <w:tc>
          <w:tcPr>
            <w:tcW w:w="3375" w:type="dxa"/>
          </w:tcPr>
          <w:p w14:paraId="7ED54132" w14:textId="5B787F2A" w:rsidR="003316E3" w:rsidRPr="00787599" w:rsidRDefault="003316E3"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 xml:space="preserve">Mittearvestatud. Eelnõus ei ole ette nähtud sanktsioone direktiivis sätestatud kohustuste täitmata jätmise eest, kuna vastutus nimetatud kohustuste täitmise eest lasub riigil ja kohalikel omavalitsustel. </w:t>
            </w:r>
          </w:p>
        </w:tc>
      </w:tr>
      <w:tr w:rsidR="00E536FD" w14:paraId="1B1321FC" w14:textId="77777777" w:rsidTr="00E536FD">
        <w:tc>
          <w:tcPr>
            <w:tcW w:w="2795" w:type="dxa"/>
          </w:tcPr>
          <w:p w14:paraId="006EA52E" w14:textId="24F2F4A1"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Justiits- ja Digiministeerium</w:t>
            </w:r>
          </w:p>
        </w:tc>
        <w:tc>
          <w:tcPr>
            <w:tcW w:w="2892" w:type="dxa"/>
          </w:tcPr>
          <w:p w14:paraId="2FC385D1" w14:textId="65339F21"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Eelnõukohase seadusega halduskoormus ei suurene. Palume see teave esitada juba sisukokkuvõttes.</w:t>
            </w:r>
          </w:p>
        </w:tc>
        <w:tc>
          <w:tcPr>
            <w:tcW w:w="3375" w:type="dxa"/>
          </w:tcPr>
          <w:p w14:paraId="7AF16DED" w14:textId="3C055CD2"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w:t>
            </w:r>
            <w:r>
              <w:rPr>
                <w:rFonts w:ascii="Times New Roman" w:eastAsia="Times New Roman" w:hAnsi="Times New Roman" w:cs="Times New Roman"/>
                <w:bCs/>
                <w:sz w:val="24"/>
                <w:szCs w:val="24"/>
                <w:lang w:eastAsia="ar-SA"/>
                <w14:ligatures w14:val="none"/>
              </w:rPr>
              <w:t>.</w:t>
            </w:r>
          </w:p>
        </w:tc>
      </w:tr>
      <w:tr w:rsidR="00E536FD" w14:paraId="53C3F24C" w14:textId="77777777" w:rsidTr="00E536FD">
        <w:tc>
          <w:tcPr>
            <w:tcW w:w="2795" w:type="dxa"/>
          </w:tcPr>
          <w:p w14:paraId="480B8C99"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2F5344ED" w14:textId="388A2231"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Eelnõuga lisatavas lõikes 2</w:t>
            </w:r>
            <w:r w:rsidRPr="000F2B18">
              <w:rPr>
                <w:rFonts w:ascii="Times New Roman" w:eastAsia="Times New Roman" w:hAnsi="Times New Roman" w:cs="Times New Roman"/>
                <w:bCs/>
                <w:sz w:val="24"/>
                <w:szCs w:val="24"/>
                <w:vertAlign w:val="superscript"/>
                <w:lang w:eastAsia="ar-SA"/>
                <w14:ligatures w14:val="none"/>
              </w:rPr>
              <w:t>4</w:t>
            </w:r>
            <w:r w:rsidRPr="000F2B18">
              <w:rPr>
                <w:rFonts w:ascii="Times New Roman" w:eastAsia="Times New Roman" w:hAnsi="Times New Roman" w:cs="Times New Roman"/>
                <w:bCs/>
                <w:sz w:val="24"/>
                <w:szCs w:val="24"/>
                <w:lang w:eastAsia="ar-SA"/>
                <w14:ligatures w14:val="none"/>
              </w:rPr>
              <w:t xml:space="preserve"> sätestatakse, et intelligentse transpordisüsteemi rakenduse ja teenuse toimimiseks vajalikke isikuandmeid töödeldakse üksnes niivõrd, kuivõrd see on vajalik Euroopa Parlamendi ja nõukogu direktiivi 2010/40/EL I lisas kindlaks määratud intelligentsete transpordisüsteemide rakenduste, teenuste ja meetmete toimimiseks, et tagada liiklusohutus ja -turvalisus ning tõhustada liikluse, liikuvuse või intsidentide haldamist.</w:t>
            </w:r>
          </w:p>
          <w:p w14:paraId="2887FF0E" w14:textId="77777777"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Eelnõuga lisatavas lõikes 25 sätestatakse, et töödeldavad andmed anonüümitakse või, kui see ei ole tehniliselt võimalik, siis andmed pseudonüümitakse.</w:t>
            </w:r>
          </w:p>
          <w:p w14:paraId="7E1DB16E" w14:textId="04509674" w:rsidR="00E536FD" w:rsidRDefault="000F2B18" w:rsidP="000F2B18">
            <w:pPr>
              <w:suppressAutoHyphens/>
              <w:jc w:val="both"/>
              <w:rPr>
                <w:rFonts w:ascii="Times New Roman" w:eastAsia="Times New Roman" w:hAnsi="Times New Roman" w:cs="Times New Roman"/>
                <w:b/>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 xml:space="preserve">Seletuskirja tuleb täiendada ja selgitada, mis saab olukordades, kus </w:t>
            </w:r>
            <w:proofErr w:type="spellStart"/>
            <w:r w:rsidRPr="000F2B18">
              <w:rPr>
                <w:rFonts w:ascii="Times New Roman" w:eastAsia="Times New Roman" w:hAnsi="Times New Roman" w:cs="Times New Roman"/>
                <w:bCs/>
                <w:sz w:val="24"/>
                <w:szCs w:val="24"/>
                <w:lang w:eastAsia="ar-SA"/>
                <w14:ligatures w14:val="none"/>
              </w:rPr>
              <w:t>anonüümimine</w:t>
            </w:r>
            <w:proofErr w:type="spellEnd"/>
            <w:r w:rsidRPr="000F2B18">
              <w:rPr>
                <w:rFonts w:ascii="Times New Roman" w:eastAsia="Times New Roman" w:hAnsi="Times New Roman" w:cs="Times New Roman"/>
                <w:bCs/>
                <w:sz w:val="24"/>
                <w:szCs w:val="24"/>
                <w:lang w:eastAsia="ar-SA"/>
                <w14:ligatures w14:val="none"/>
              </w:rPr>
              <w:t xml:space="preserve"> ega </w:t>
            </w:r>
            <w:proofErr w:type="spellStart"/>
            <w:r w:rsidRPr="000F2B18">
              <w:rPr>
                <w:rFonts w:ascii="Times New Roman" w:eastAsia="Times New Roman" w:hAnsi="Times New Roman" w:cs="Times New Roman"/>
                <w:bCs/>
                <w:sz w:val="24"/>
                <w:szCs w:val="24"/>
                <w:lang w:eastAsia="ar-SA"/>
                <w14:ligatures w14:val="none"/>
              </w:rPr>
              <w:t>pseudonüümimine</w:t>
            </w:r>
            <w:proofErr w:type="spellEnd"/>
            <w:r w:rsidRPr="000F2B18">
              <w:rPr>
                <w:rFonts w:ascii="Times New Roman" w:eastAsia="Times New Roman" w:hAnsi="Times New Roman" w:cs="Times New Roman"/>
                <w:bCs/>
                <w:sz w:val="24"/>
                <w:szCs w:val="24"/>
                <w:lang w:eastAsia="ar-SA"/>
                <w14:ligatures w14:val="none"/>
              </w:rPr>
              <w:t xml:space="preserve"> ei ole võimalik – kas sellisel juhul töödeldakse isikuandmeid või mitte ning kuidas otsustatakse andmetöötluse vajadus.</w:t>
            </w:r>
          </w:p>
        </w:tc>
        <w:tc>
          <w:tcPr>
            <w:tcW w:w="3375" w:type="dxa"/>
          </w:tcPr>
          <w:p w14:paraId="542CBFB9" w14:textId="2A1C063B"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seletuskirja.</w:t>
            </w:r>
          </w:p>
        </w:tc>
      </w:tr>
      <w:tr w:rsidR="00E536FD" w14:paraId="7764F20B" w14:textId="77777777" w:rsidTr="00E536FD">
        <w:tc>
          <w:tcPr>
            <w:tcW w:w="2795" w:type="dxa"/>
          </w:tcPr>
          <w:p w14:paraId="1F334280"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3A4BCB71" w14:textId="0566C612"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Eelnõuga liiklusseaduse §-i 6</w:t>
            </w:r>
            <w:r w:rsidRPr="000F2B18">
              <w:rPr>
                <w:rFonts w:ascii="Times New Roman" w:eastAsia="Times New Roman" w:hAnsi="Times New Roman" w:cs="Times New Roman"/>
                <w:bCs/>
                <w:sz w:val="24"/>
                <w:szCs w:val="24"/>
                <w:vertAlign w:val="superscript"/>
                <w:lang w:eastAsia="ar-SA"/>
                <w14:ligatures w14:val="none"/>
              </w:rPr>
              <w:t xml:space="preserve">1 </w:t>
            </w:r>
            <w:r>
              <w:rPr>
                <w:rFonts w:ascii="Times New Roman" w:eastAsia="Times New Roman" w:hAnsi="Times New Roman" w:cs="Times New Roman"/>
                <w:bCs/>
                <w:sz w:val="24"/>
                <w:szCs w:val="24"/>
                <w:vertAlign w:val="superscript"/>
                <w:lang w:eastAsia="ar-SA"/>
                <w14:ligatures w14:val="none"/>
              </w:rPr>
              <w:t xml:space="preserve"> </w:t>
            </w:r>
            <w:r w:rsidRPr="000F2B18">
              <w:rPr>
                <w:rFonts w:ascii="Times New Roman" w:eastAsia="Times New Roman" w:hAnsi="Times New Roman" w:cs="Times New Roman"/>
                <w:bCs/>
                <w:sz w:val="24"/>
                <w:szCs w:val="24"/>
                <w:lang w:eastAsia="ar-SA"/>
                <w14:ligatures w14:val="none"/>
              </w:rPr>
              <w:t xml:space="preserve">kavandatava lõike 4 järgi teevad andmevaldajad </w:t>
            </w:r>
            <w:r w:rsidRPr="000F2B18">
              <w:rPr>
                <w:rFonts w:ascii="Times New Roman" w:eastAsia="Times New Roman" w:hAnsi="Times New Roman" w:cs="Times New Roman"/>
                <w:bCs/>
                <w:sz w:val="24"/>
                <w:szCs w:val="24"/>
                <w:lang w:eastAsia="ar-SA"/>
                <w14:ligatures w14:val="none"/>
              </w:rPr>
              <w:lastRenderedPageBreak/>
              <w:t>staatilised ja dünaamilised andmed kättesaadavaks Riigi Infosüsteemi Ameti tehniliste juhendite kohaselt.</w:t>
            </w:r>
          </w:p>
          <w:p w14:paraId="08C87C94" w14:textId="77777777"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EL direktiivi 2014/40 art 4 punkt 22 kohaselt on riiklik juurdepääsupunkt liikmesriigi loodud digiliides, mis on ühtne andmetele juurdepääsu punkt, nagu on määratletud artikli 6 kohaselt vastu võetud spetsifikatsioonides.</w:t>
            </w:r>
          </w:p>
          <w:p w14:paraId="37897479" w14:textId="526B5A5B"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Art 6 lõike 1 kohaselt võtab komisjon esmalt vastu spetsifikatsioonid, mis on vajalikud, et tagada ühilduvus, koostalitlusvõime ja pidevus intelligentsete transpordisüsteemide kasutusele võtmiseks ja tööks kasutamiseks prioriteetsete meetmete puhul</w:t>
            </w:r>
            <w:r>
              <w:rPr>
                <w:rFonts w:ascii="Times New Roman" w:eastAsia="Times New Roman" w:hAnsi="Times New Roman" w:cs="Times New Roman"/>
                <w:bCs/>
                <w:sz w:val="24"/>
                <w:szCs w:val="24"/>
                <w:lang w:eastAsia="ar-SA"/>
                <w14:ligatures w14:val="none"/>
              </w:rPr>
              <w:t xml:space="preserve">. </w:t>
            </w:r>
            <w:r w:rsidRPr="000F2B18">
              <w:rPr>
                <w:rFonts w:ascii="Times New Roman" w:eastAsia="Times New Roman" w:hAnsi="Times New Roman" w:cs="Times New Roman"/>
                <w:bCs/>
                <w:sz w:val="24"/>
                <w:szCs w:val="24"/>
                <w:lang w:eastAsia="ar-SA"/>
                <w14:ligatures w14:val="none"/>
              </w:rPr>
              <w:t>Sama artikli lõike 5 kohaselt: ilma et see piiraks Euroopa Parlamendi ja nõukogu direktiivis (EL) 2015/1535 sätestatud menetluste kohaldamist, sätestatakse</w:t>
            </w:r>
            <w:r>
              <w:rPr>
                <w:rFonts w:ascii="Times New Roman" w:eastAsia="Times New Roman" w:hAnsi="Times New Roman" w:cs="Times New Roman"/>
                <w:bCs/>
                <w:sz w:val="24"/>
                <w:szCs w:val="24"/>
                <w:lang w:eastAsia="ar-SA"/>
                <w14:ligatures w14:val="none"/>
              </w:rPr>
              <w:t xml:space="preserve"> </w:t>
            </w:r>
            <w:r w:rsidRPr="000F2B18">
              <w:rPr>
                <w:rFonts w:ascii="Times New Roman" w:eastAsia="Times New Roman" w:hAnsi="Times New Roman" w:cs="Times New Roman"/>
                <w:bCs/>
                <w:sz w:val="24"/>
                <w:szCs w:val="24"/>
                <w:lang w:eastAsia="ar-SA"/>
                <w14:ligatures w14:val="none"/>
              </w:rPr>
              <w:t>spetsifikatsioonides asjakohasel juhul olukord, mil liikmesriigid võivad pärast komisjoni teavitamist kehtestada täiendavaid norme intelligentsete transpordisüsteemide teenuste osutamiseks kogu oma territooriumil või mõnes selle osas. Need normid ei tohi takistada koostalitlust.</w:t>
            </w:r>
            <w:r>
              <w:rPr>
                <w:rFonts w:ascii="Times New Roman" w:eastAsia="Times New Roman" w:hAnsi="Times New Roman" w:cs="Times New Roman"/>
                <w:bCs/>
                <w:sz w:val="24"/>
                <w:szCs w:val="24"/>
                <w:lang w:eastAsia="ar-SA"/>
                <w14:ligatures w14:val="none"/>
              </w:rPr>
              <w:t xml:space="preserve"> </w:t>
            </w:r>
            <w:r w:rsidRPr="000F2B18">
              <w:rPr>
                <w:rFonts w:ascii="Times New Roman" w:eastAsia="Times New Roman" w:hAnsi="Times New Roman" w:cs="Times New Roman"/>
                <w:bCs/>
                <w:sz w:val="24"/>
                <w:szCs w:val="24"/>
                <w:lang w:eastAsia="ar-SA"/>
                <w14:ligatures w14:val="none"/>
              </w:rPr>
              <w:t xml:space="preserve">Seega tuleb esmalt jälgida komisjoni spetsifikatsioone ja alles seejärel riiklikke. Samas puudub Riigi Infosüsteemi Ametil (RIA) õigusaktide </w:t>
            </w:r>
            <w:r w:rsidRPr="000F2B18">
              <w:rPr>
                <w:rFonts w:ascii="Times New Roman" w:eastAsia="Times New Roman" w:hAnsi="Times New Roman" w:cs="Times New Roman"/>
                <w:bCs/>
                <w:sz w:val="24"/>
                <w:szCs w:val="24"/>
                <w:lang w:eastAsia="ar-SA"/>
                <w14:ligatures w14:val="none"/>
              </w:rPr>
              <w:lastRenderedPageBreak/>
              <w:t xml:space="preserve">kehtestamise õigus ja seega on viide RIA kohustuslikele juhistele ekslik. Samas </w:t>
            </w:r>
            <w:proofErr w:type="spellStart"/>
            <w:r w:rsidRPr="000F2B18">
              <w:rPr>
                <w:rFonts w:ascii="Times New Roman" w:eastAsia="Times New Roman" w:hAnsi="Times New Roman" w:cs="Times New Roman"/>
                <w:bCs/>
                <w:sz w:val="24"/>
                <w:szCs w:val="24"/>
                <w:lang w:eastAsia="ar-SA"/>
                <w14:ligatures w14:val="none"/>
              </w:rPr>
              <w:t>RIA-l</w:t>
            </w:r>
            <w:proofErr w:type="spellEnd"/>
            <w:r w:rsidRPr="000F2B18">
              <w:rPr>
                <w:rFonts w:ascii="Times New Roman" w:eastAsia="Times New Roman" w:hAnsi="Times New Roman" w:cs="Times New Roman"/>
                <w:bCs/>
                <w:sz w:val="24"/>
                <w:szCs w:val="24"/>
                <w:lang w:eastAsia="ar-SA"/>
                <w14:ligatures w14:val="none"/>
              </w:rPr>
              <w:t xml:space="preserve"> on alati võimalik avaldada veebilehel </w:t>
            </w:r>
            <w:proofErr w:type="spellStart"/>
            <w:r w:rsidRPr="000F2B18">
              <w:rPr>
                <w:rFonts w:ascii="Times New Roman" w:eastAsia="Times New Roman" w:hAnsi="Times New Roman" w:cs="Times New Roman"/>
                <w:bCs/>
                <w:sz w:val="24"/>
                <w:szCs w:val="24"/>
                <w:lang w:eastAsia="ar-SA"/>
                <w14:ligatures w14:val="none"/>
              </w:rPr>
              <w:t>soovituslikke</w:t>
            </w:r>
            <w:proofErr w:type="spellEnd"/>
            <w:r w:rsidRPr="000F2B18">
              <w:rPr>
                <w:rFonts w:ascii="Times New Roman" w:eastAsia="Times New Roman" w:hAnsi="Times New Roman" w:cs="Times New Roman"/>
                <w:bCs/>
                <w:sz w:val="24"/>
                <w:szCs w:val="24"/>
                <w:lang w:eastAsia="ar-SA"/>
                <w14:ligatures w14:val="none"/>
              </w:rPr>
              <w:t xml:space="preserve"> juhiseid, kuid seda seaduses ei sätestata.</w:t>
            </w:r>
          </w:p>
          <w:p w14:paraId="2F462903" w14:textId="77777777"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Kui on soov kehtestada ettevõtjatele lisaks komisjoni spetsifikatsioonidele täiendavaid nõudeid, siis tuleb ette näha vastav volitusnorm valdkonna eest vastutavale ministrile.</w:t>
            </w:r>
          </w:p>
          <w:p w14:paraId="0C8AE9C4" w14:textId="31A036E0" w:rsidR="00E536FD" w:rsidRDefault="000F2B18" w:rsidP="000F2B18">
            <w:pPr>
              <w:suppressAutoHyphens/>
              <w:jc w:val="both"/>
              <w:rPr>
                <w:rFonts w:ascii="Times New Roman" w:eastAsia="Times New Roman" w:hAnsi="Times New Roman" w:cs="Times New Roman"/>
                <w:b/>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 xml:space="preserve">Palume RIA võimalust anda </w:t>
            </w:r>
            <w:proofErr w:type="spellStart"/>
            <w:r w:rsidRPr="000F2B18">
              <w:rPr>
                <w:rFonts w:ascii="Times New Roman" w:eastAsia="Times New Roman" w:hAnsi="Times New Roman" w:cs="Times New Roman"/>
                <w:bCs/>
                <w:sz w:val="24"/>
                <w:szCs w:val="24"/>
                <w:lang w:eastAsia="ar-SA"/>
                <w14:ligatures w14:val="none"/>
              </w:rPr>
              <w:t>soovituslikke</w:t>
            </w:r>
            <w:proofErr w:type="spellEnd"/>
            <w:r w:rsidRPr="000F2B18">
              <w:rPr>
                <w:rFonts w:ascii="Times New Roman" w:eastAsia="Times New Roman" w:hAnsi="Times New Roman" w:cs="Times New Roman"/>
                <w:bCs/>
                <w:sz w:val="24"/>
                <w:szCs w:val="24"/>
                <w:lang w:eastAsia="ar-SA"/>
                <w14:ligatures w14:val="none"/>
              </w:rPr>
              <w:t xml:space="preserve"> juhiseid ja näiteid teabe esitamiseks käsitleda seletuskirjas.</w:t>
            </w:r>
          </w:p>
        </w:tc>
        <w:tc>
          <w:tcPr>
            <w:tcW w:w="3375" w:type="dxa"/>
          </w:tcPr>
          <w:p w14:paraId="4836BFB2" w14:textId="162B12E5"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lastRenderedPageBreak/>
              <w:t>Arvestatud</w:t>
            </w:r>
            <w:r w:rsidR="004C1BE1">
              <w:rPr>
                <w:rFonts w:ascii="Times New Roman" w:eastAsia="Times New Roman" w:hAnsi="Times New Roman" w:cs="Times New Roman"/>
                <w:bCs/>
                <w:sz w:val="24"/>
                <w:szCs w:val="24"/>
                <w:lang w:eastAsia="ar-SA"/>
                <w14:ligatures w14:val="none"/>
              </w:rPr>
              <w:t xml:space="preserve"> – täiendatud eelnõu ja seletuskirja. </w:t>
            </w:r>
          </w:p>
        </w:tc>
      </w:tr>
      <w:tr w:rsidR="00E536FD" w14:paraId="17F4B6B0" w14:textId="77777777" w:rsidTr="00E536FD">
        <w:tc>
          <w:tcPr>
            <w:tcW w:w="2795" w:type="dxa"/>
          </w:tcPr>
          <w:p w14:paraId="2FECA007"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649623D8" w14:textId="77777777" w:rsidR="000F2B18"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 xml:space="preserve">Intelligentsete transpordisüsteemide käitajale tekib küberturvalisuse 2. direktiivi ülevõtmisega nõue järgida oma võrgu- ja infosüsteemide kaitsmisel küberturvalisuse nõudeid. Samas ei nähtu kehtivast </w:t>
            </w:r>
            <w:proofErr w:type="spellStart"/>
            <w:r w:rsidRPr="000F2B18">
              <w:rPr>
                <w:rFonts w:ascii="Times New Roman" w:eastAsia="Times New Roman" w:hAnsi="Times New Roman" w:cs="Times New Roman"/>
                <w:bCs/>
                <w:sz w:val="24"/>
                <w:szCs w:val="24"/>
                <w:lang w:eastAsia="ar-SA"/>
                <w14:ligatures w14:val="none"/>
              </w:rPr>
              <w:t>LS-st</w:t>
            </w:r>
            <w:proofErr w:type="spellEnd"/>
            <w:r w:rsidRPr="000F2B18">
              <w:rPr>
                <w:rFonts w:ascii="Times New Roman" w:eastAsia="Times New Roman" w:hAnsi="Times New Roman" w:cs="Times New Roman"/>
                <w:bCs/>
                <w:sz w:val="24"/>
                <w:szCs w:val="24"/>
                <w:lang w:eastAsia="ar-SA"/>
                <w14:ligatures w14:val="none"/>
              </w:rPr>
              <w:t>, eelnõust ega selle seletuskirjast, milline on intelligentsete transpordisüsteemide käitaja vastutus siis, kui süsteemi käitamise vigade tõttu või kui käitaja tegevuse või tegevusetuse tulemusel on transpordisüsteem üle võetud pahatahtliku isiku või riigi poolt ning selle tulemusel on tekkinud kahju teistele isikutele või hukkub inimene (nt võrgus oleva sõidukiga inimeste tahtlik vigastamine või terrorism) või kui transpordisüsteemi kasutatakse ära nt üldise liikluse halvamiseks jne.</w:t>
            </w:r>
          </w:p>
          <w:p w14:paraId="23C3F29A" w14:textId="6EE9F3F3" w:rsidR="00E536FD" w:rsidRPr="000F2B18" w:rsidRDefault="000F2B18" w:rsidP="000F2B18">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lastRenderedPageBreak/>
              <w:t>Peame vajalikuks, et vastutus oleks selge ning üheselt mõistetav enne intelligentsete transpordisüsteemide reaalset kasutusele võtmist. Palume seletuskirjas esitada vastutusega seonduv analüüs ning täiendada ka eelnõu.</w:t>
            </w:r>
          </w:p>
        </w:tc>
        <w:tc>
          <w:tcPr>
            <w:tcW w:w="3375" w:type="dxa"/>
          </w:tcPr>
          <w:p w14:paraId="2F3ED16B" w14:textId="4E31E30E"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lastRenderedPageBreak/>
              <w:t>Arvestatud</w:t>
            </w:r>
            <w:r w:rsidR="004C1BE1">
              <w:rPr>
                <w:rFonts w:ascii="Times New Roman" w:eastAsia="Times New Roman" w:hAnsi="Times New Roman" w:cs="Times New Roman"/>
                <w:bCs/>
                <w:sz w:val="24"/>
                <w:szCs w:val="24"/>
                <w:lang w:eastAsia="ar-SA"/>
                <w14:ligatures w14:val="none"/>
              </w:rPr>
              <w:t xml:space="preserve"> osaliselt – täiendatud seletuskirja ja selgitatud. </w:t>
            </w:r>
          </w:p>
        </w:tc>
      </w:tr>
      <w:tr w:rsidR="00E536FD" w14:paraId="6AAB1F09" w14:textId="77777777" w:rsidTr="00E536FD">
        <w:tc>
          <w:tcPr>
            <w:tcW w:w="2795" w:type="dxa"/>
          </w:tcPr>
          <w:p w14:paraId="221135FC" w14:textId="77777777" w:rsidR="00E536FD" w:rsidRDefault="00E536FD" w:rsidP="0014509E">
            <w:pPr>
              <w:suppressAutoHyphens/>
              <w:jc w:val="both"/>
              <w:rPr>
                <w:rFonts w:ascii="Times New Roman" w:eastAsia="Times New Roman" w:hAnsi="Times New Roman" w:cs="Times New Roman"/>
                <w:b/>
                <w:sz w:val="24"/>
                <w:szCs w:val="24"/>
                <w:lang w:eastAsia="ar-SA"/>
                <w14:ligatures w14:val="none"/>
              </w:rPr>
            </w:pPr>
          </w:p>
        </w:tc>
        <w:tc>
          <w:tcPr>
            <w:tcW w:w="2892" w:type="dxa"/>
          </w:tcPr>
          <w:p w14:paraId="0950D94B" w14:textId="77C90CA7"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sidRPr="000F2B18">
              <w:rPr>
                <w:rFonts w:ascii="Times New Roman" w:eastAsia="Times New Roman" w:hAnsi="Times New Roman" w:cs="Times New Roman"/>
                <w:bCs/>
                <w:sz w:val="24"/>
                <w:szCs w:val="24"/>
                <w:lang w:eastAsia="ar-SA"/>
                <w14:ligatures w14:val="none"/>
              </w:rPr>
              <w:t>Palume arvestada ka eelnõu ja seletuskirja failides esitatud normitehniliste märkustega ja märkustega eelnõu seletuskirja kohta.</w:t>
            </w:r>
          </w:p>
        </w:tc>
        <w:tc>
          <w:tcPr>
            <w:tcW w:w="3375" w:type="dxa"/>
          </w:tcPr>
          <w:p w14:paraId="7DACD66D" w14:textId="193C5DE6" w:rsidR="00E536FD" w:rsidRPr="000F2B18" w:rsidRDefault="000F2B18" w:rsidP="0014509E">
            <w:pPr>
              <w:suppressAutoHyphens/>
              <w:jc w:val="both"/>
              <w:rPr>
                <w:rFonts w:ascii="Times New Roman" w:eastAsia="Times New Roman" w:hAnsi="Times New Roman" w:cs="Times New Roman"/>
                <w:bCs/>
                <w:sz w:val="24"/>
                <w:szCs w:val="24"/>
                <w:lang w:eastAsia="ar-SA"/>
                <w14:ligatures w14:val="none"/>
              </w:rPr>
            </w:pPr>
            <w:r>
              <w:rPr>
                <w:rFonts w:ascii="Times New Roman" w:eastAsia="Times New Roman" w:hAnsi="Times New Roman" w:cs="Times New Roman"/>
                <w:bCs/>
                <w:sz w:val="24"/>
                <w:szCs w:val="24"/>
                <w:lang w:eastAsia="ar-SA"/>
                <w14:ligatures w14:val="none"/>
              </w:rPr>
              <w:t>Arvestatud</w:t>
            </w:r>
            <w:r w:rsidR="004C1BE1">
              <w:rPr>
                <w:rFonts w:ascii="Times New Roman" w:eastAsia="Times New Roman" w:hAnsi="Times New Roman" w:cs="Times New Roman"/>
                <w:bCs/>
                <w:sz w:val="24"/>
                <w:szCs w:val="24"/>
                <w:lang w:eastAsia="ar-SA"/>
                <w14:ligatures w14:val="none"/>
              </w:rPr>
              <w:t xml:space="preserve"> – täiendatud eelnõu ja seletuskirja. </w:t>
            </w:r>
          </w:p>
        </w:tc>
      </w:tr>
    </w:tbl>
    <w:p w14:paraId="56045D22" w14:textId="77777777" w:rsidR="0014509E" w:rsidRPr="00DA63EC" w:rsidRDefault="0014509E" w:rsidP="0014509E">
      <w:pPr>
        <w:suppressAutoHyphens/>
        <w:spacing w:after="0" w:line="240" w:lineRule="auto"/>
        <w:jc w:val="both"/>
        <w:rPr>
          <w:rFonts w:ascii="Times New Roman" w:eastAsia="Times New Roman" w:hAnsi="Times New Roman" w:cs="Times New Roman"/>
          <w:b/>
          <w:sz w:val="24"/>
          <w:szCs w:val="24"/>
          <w:lang w:eastAsia="ar-SA"/>
          <w14:ligatures w14:val="none"/>
        </w:rPr>
      </w:pPr>
    </w:p>
    <w:p w14:paraId="338E3C00" w14:textId="2266B758" w:rsidR="00171598" w:rsidRDefault="00171598" w:rsidP="0014509E"/>
    <w:sectPr w:rsidR="00171598" w:rsidSect="00934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B0"/>
    <w:rsid w:val="00023A7B"/>
    <w:rsid w:val="000F2B18"/>
    <w:rsid w:val="0014509E"/>
    <w:rsid w:val="00171598"/>
    <w:rsid w:val="002F10F8"/>
    <w:rsid w:val="003316E3"/>
    <w:rsid w:val="004C1BE1"/>
    <w:rsid w:val="004C5869"/>
    <w:rsid w:val="00787599"/>
    <w:rsid w:val="008506C4"/>
    <w:rsid w:val="008F38A9"/>
    <w:rsid w:val="00934D42"/>
    <w:rsid w:val="009726BA"/>
    <w:rsid w:val="009F16B0"/>
    <w:rsid w:val="00A42793"/>
    <w:rsid w:val="00AF498B"/>
    <w:rsid w:val="00E536FD"/>
    <w:rsid w:val="00EC443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4FB5"/>
  <w15:chartTrackingRefBased/>
  <w15:docId w15:val="{8206BF5F-092D-45A3-891F-D6A71FB1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9E"/>
  </w:style>
  <w:style w:type="paragraph" w:styleId="Heading1">
    <w:name w:val="heading 1"/>
    <w:basedOn w:val="Normal"/>
    <w:next w:val="Normal"/>
    <w:link w:val="Heading1Char"/>
    <w:uiPriority w:val="9"/>
    <w:qFormat/>
    <w:rsid w:val="009F1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6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6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6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6B0"/>
    <w:rPr>
      <w:rFonts w:eastAsiaTheme="majorEastAsia" w:cstheme="majorBidi"/>
      <w:color w:val="272727" w:themeColor="text1" w:themeTint="D8"/>
    </w:rPr>
  </w:style>
  <w:style w:type="paragraph" w:styleId="Title">
    <w:name w:val="Title"/>
    <w:basedOn w:val="Normal"/>
    <w:next w:val="Normal"/>
    <w:link w:val="TitleChar"/>
    <w:uiPriority w:val="10"/>
    <w:qFormat/>
    <w:rsid w:val="009F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6B0"/>
    <w:pPr>
      <w:spacing w:before="160"/>
      <w:jc w:val="center"/>
    </w:pPr>
    <w:rPr>
      <w:i/>
      <w:iCs/>
      <w:color w:val="404040" w:themeColor="text1" w:themeTint="BF"/>
    </w:rPr>
  </w:style>
  <w:style w:type="character" w:customStyle="1" w:styleId="QuoteChar">
    <w:name w:val="Quote Char"/>
    <w:basedOn w:val="DefaultParagraphFont"/>
    <w:link w:val="Quote"/>
    <w:uiPriority w:val="29"/>
    <w:rsid w:val="009F16B0"/>
    <w:rPr>
      <w:i/>
      <w:iCs/>
      <w:color w:val="404040" w:themeColor="text1" w:themeTint="BF"/>
    </w:rPr>
  </w:style>
  <w:style w:type="paragraph" w:styleId="ListParagraph">
    <w:name w:val="List Paragraph"/>
    <w:basedOn w:val="Normal"/>
    <w:uiPriority w:val="34"/>
    <w:qFormat/>
    <w:rsid w:val="009F16B0"/>
    <w:pPr>
      <w:ind w:left="720"/>
      <w:contextualSpacing/>
    </w:pPr>
  </w:style>
  <w:style w:type="character" w:styleId="IntenseEmphasis">
    <w:name w:val="Intense Emphasis"/>
    <w:basedOn w:val="DefaultParagraphFont"/>
    <w:uiPriority w:val="21"/>
    <w:qFormat/>
    <w:rsid w:val="009F16B0"/>
    <w:rPr>
      <w:i/>
      <w:iCs/>
      <w:color w:val="2F5496" w:themeColor="accent1" w:themeShade="BF"/>
    </w:rPr>
  </w:style>
  <w:style w:type="paragraph" w:styleId="IntenseQuote">
    <w:name w:val="Intense Quote"/>
    <w:basedOn w:val="Normal"/>
    <w:next w:val="Normal"/>
    <w:link w:val="IntenseQuoteChar"/>
    <w:uiPriority w:val="30"/>
    <w:qFormat/>
    <w:rsid w:val="009F1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6B0"/>
    <w:rPr>
      <w:i/>
      <w:iCs/>
      <w:color w:val="2F5496" w:themeColor="accent1" w:themeShade="BF"/>
    </w:rPr>
  </w:style>
  <w:style w:type="character" w:styleId="IntenseReference">
    <w:name w:val="Intense Reference"/>
    <w:basedOn w:val="DefaultParagraphFont"/>
    <w:uiPriority w:val="32"/>
    <w:qFormat/>
    <w:rsid w:val="009F16B0"/>
    <w:rPr>
      <w:b/>
      <w:bCs/>
      <w:smallCaps/>
      <w:color w:val="2F5496" w:themeColor="accent1" w:themeShade="BF"/>
      <w:spacing w:val="5"/>
    </w:rPr>
  </w:style>
  <w:style w:type="table" w:styleId="TableGrid">
    <w:name w:val="Table Grid"/>
    <w:basedOn w:val="TableNormal"/>
    <w:uiPriority w:val="39"/>
    <w:rsid w:val="00145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432"/>
    <w:rPr>
      <w:sz w:val="16"/>
      <w:szCs w:val="16"/>
    </w:rPr>
  </w:style>
  <w:style w:type="paragraph" w:styleId="CommentText">
    <w:name w:val="annotation text"/>
    <w:basedOn w:val="Normal"/>
    <w:link w:val="CommentTextChar"/>
    <w:uiPriority w:val="99"/>
    <w:unhideWhenUsed/>
    <w:rsid w:val="00EC4432"/>
    <w:pPr>
      <w:spacing w:line="240" w:lineRule="auto"/>
    </w:pPr>
    <w:rPr>
      <w:sz w:val="20"/>
      <w:szCs w:val="20"/>
    </w:rPr>
  </w:style>
  <w:style w:type="character" w:customStyle="1" w:styleId="CommentTextChar">
    <w:name w:val="Comment Text Char"/>
    <w:basedOn w:val="DefaultParagraphFont"/>
    <w:link w:val="CommentText"/>
    <w:uiPriority w:val="99"/>
    <w:rsid w:val="00EC4432"/>
    <w:rPr>
      <w:sz w:val="20"/>
      <w:szCs w:val="20"/>
    </w:rPr>
  </w:style>
  <w:style w:type="paragraph" w:styleId="CommentSubject">
    <w:name w:val="annotation subject"/>
    <w:basedOn w:val="CommentText"/>
    <w:next w:val="CommentText"/>
    <w:link w:val="CommentSubjectChar"/>
    <w:uiPriority w:val="99"/>
    <w:semiHidden/>
    <w:unhideWhenUsed/>
    <w:rsid w:val="00EC4432"/>
    <w:rPr>
      <w:b/>
      <w:bCs/>
    </w:rPr>
  </w:style>
  <w:style w:type="character" w:customStyle="1" w:styleId="CommentSubjectChar">
    <w:name w:val="Comment Subject Char"/>
    <w:basedOn w:val="CommentTextChar"/>
    <w:link w:val="CommentSubject"/>
    <w:uiPriority w:val="99"/>
    <w:semiHidden/>
    <w:rsid w:val="00EC44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253E-7FAB-4F3C-8DE6-6004DB3E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1425</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KeMIT</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muutmise SK lisa 2</dc:title>
  <dc:subject/>
  <dc:creator>Enriko Laanemäe</dc:creator>
  <dc:description/>
  <cp:lastModifiedBy>Enriko Laanemäe</cp:lastModifiedBy>
  <cp:revision>9</cp:revision>
  <dcterms:created xsi:type="dcterms:W3CDTF">2025-07-11T07:33:00Z</dcterms:created>
  <dcterms:modified xsi:type="dcterms:W3CDTF">2025-08-04T06:38:00Z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2025-07-14T16:08:01Z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8daed02e-b0af-4ef5-8e3d-a03a00b5f188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